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13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  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0"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передачи и учета Давальческих материалов и запасных частей</w:t>
      </w:r>
      <w:r>
        <w:rPr>
          <w:b/>
          <w:sz w:val="24"/>
          <w:szCs w:val="24"/>
        </w:rPr>
      </w:r>
    </w:p>
    <w:p>
      <w:pPr>
        <w:ind w:firstLine="709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37"/>
        <w:numPr>
          <w:ilvl w:val="0"/>
          <w:numId w:val="56"/>
        </w:numPr>
        <w:ind w:left="0" w:firstLine="709"/>
        <w:jc w:val="both"/>
        <w:spacing w:line="276" w:lineRule="auto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Давальческие материалы и запасные части передаются Заказчиком Подрядчику для выполнения работ по договору в следующем порядке:</w:t>
      </w:r>
      <w:r>
        <w:rPr>
          <w:sz w:val="24"/>
          <w:szCs w:val="24"/>
        </w:rPr>
      </w:r>
    </w:p>
    <w:p>
      <w:pPr>
        <w:pStyle w:val="937"/>
        <w:numPr>
          <w:ilvl w:val="0"/>
          <w:numId w:val="109"/>
        </w:numPr>
        <w:ind w:left="0" w:right="0" w:firstLine="709"/>
        <w:jc w:val="both"/>
        <w:spacing w:line="276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для получения Давальческих материалов и запасных частей</w:t>
      </w:r>
      <w:r>
        <w:rPr>
          <w:sz w:val="24"/>
          <w:szCs w:val="24"/>
        </w:rPr>
        <w:t xml:space="preserve"> в соответствии с технической документацией или сметой на выполнение соо</w:t>
      </w:r>
      <w:bookmarkStart w:id="0" w:name="_GoBack"/>
      <w:r>
        <w:rPr>
          <w:sz w:val="24"/>
          <w:szCs w:val="24"/>
        </w:rPr>
      </w:r>
      <w:bookmarkEnd w:id="0"/>
      <w:r>
        <w:rPr>
          <w:sz w:val="24"/>
          <w:szCs w:val="24"/>
        </w:rPr>
        <w:t xml:space="preserve">тветствующего Этапа Работ</w:t>
      </w:r>
      <w:r>
        <w:rPr>
          <w:sz w:val="24"/>
          <w:szCs w:val="24"/>
        </w:rPr>
        <w:t xml:space="preserve">, Подрядчик должен направить Заказчику письменную заявку, подписанную уполномоченным лицом, с указанием номенклатуры и количества Давальческих материалов и запасных частей и приложением документов, подтверждающих право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получени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материальных ценностей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937"/>
        <w:numPr>
          <w:ilvl w:val="0"/>
          <w:numId w:val="109"/>
        </w:numPr>
        <w:ind w:left="0" w:right="0" w:firstLine="709"/>
        <w:jc w:val="both"/>
        <w:spacing w:line="276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Заказчик в течение 3 (трех) рабочих дней со дня получения письменной заявки от Подрядчика</w:t>
      </w:r>
      <w:r>
        <w:rPr>
          <w:sz w:val="24"/>
          <w:szCs w:val="24"/>
        </w:rPr>
        <w:t xml:space="preserve"> или в иной согласованный с Подрядчиком срок</w:t>
      </w:r>
      <w:r>
        <w:rPr>
          <w:sz w:val="24"/>
          <w:szCs w:val="24"/>
        </w:rPr>
        <w:t xml:space="preserve"> осуществляет передачу, а Подрядчик приемку, доставку до Объекта, разгрузку и складирование полученных со склада Заказчика Давальческих материалов и запасных частей по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акладной на отпуск материалов на сторону</w:t>
      </w:r>
      <w:r>
        <w:rPr>
          <w:sz w:val="24"/>
          <w:szCs w:val="24"/>
        </w:rPr>
        <w:t xml:space="preserve">, оформленной по унифицированной форме № М-15</w:t>
      </w:r>
      <w:r>
        <w:rPr>
          <w:sz w:val="24"/>
          <w:szCs w:val="24"/>
        </w:rPr>
        <w:t xml:space="preserve">, утвержденн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Постановлением Госкомстата России от 30.10.1997 №71</w:t>
      </w:r>
      <w:r>
        <w:rPr>
          <w:sz w:val="24"/>
          <w:szCs w:val="24"/>
        </w:rPr>
        <w:t xml:space="preserve">а)</w:t>
      </w:r>
      <w:r>
        <w:rPr>
          <w:sz w:val="24"/>
          <w:szCs w:val="24"/>
        </w:rPr>
        <w:t xml:space="preserve"> (далее – Накладная М-15</w:t>
      </w:r>
      <w:r>
        <w:rPr>
          <w:sz w:val="24"/>
          <w:szCs w:val="24"/>
        </w:rPr>
        <w:t xml:space="preserve">); </w:t>
      </w:r>
      <w:r>
        <w:rPr>
          <w:sz w:val="24"/>
          <w:szCs w:val="24"/>
        </w:rPr>
      </w:r>
    </w:p>
    <w:p>
      <w:pPr>
        <w:pStyle w:val="937"/>
        <w:numPr>
          <w:ilvl w:val="0"/>
          <w:numId w:val="109"/>
        </w:numPr>
        <w:ind w:left="0" w:right="0" w:firstLine="709"/>
        <w:jc w:val="both"/>
        <w:spacing w:line="276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проверка </w:t>
      </w:r>
      <w:r>
        <w:rPr>
          <w:sz w:val="24"/>
          <w:szCs w:val="24"/>
        </w:rPr>
        <w:t xml:space="preserve">соответствия показателей качества передаваемых Заказчиком Подрядчику Давальческих материалов и за</w:t>
      </w:r>
      <w:r>
        <w:rPr>
          <w:sz w:val="24"/>
          <w:szCs w:val="24"/>
        </w:rPr>
        <w:t xml:space="preserve">пасных частей требованиям стандартов, технических условий и их комплектности (входной контроль качества) осуществляется Подрядчиком до момента подписания Накладной М-15. В случае обнаружения каких-либо недостатков Подрядчик должен незамедлительно сообщить </w:t>
      </w:r>
      <w:r>
        <w:rPr>
          <w:sz w:val="24"/>
          <w:szCs w:val="24"/>
        </w:rPr>
        <w:t xml:space="preserve">об этом </w:t>
      </w:r>
      <w:r>
        <w:rPr>
          <w:sz w:val="24"/>
          <w:szCs w:val="24"/>
        </w:rPr>
        <w:t xml:space="preserve">Заказчику, приемка Давальческих материалов и запасных частей по Накладной М-15 в этом случае не осуществляется.</w:t>
      </w:r>
      <w:r>
        <w:rPr>
          <w:sz w:val="24"/>
          <w:szCs w:val="24"/>
        </w:rPr>
      </w:r>
    </w:p>
    <w:p>
      <w:pPr>
        <w:pStyle w:val="937"/>
        <w:numPr>
          <w:ilvl w:val="0"/>
          <w:numId w:val="56"/>
        </w:numPr>
        <w:ind w:left="0" w:firstLine="709"/>
        <w:jc w:val="both"/>
        <w:spacing w:line="276" w:lineRule="auto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несет риск случайной гибели, а также ответственность за сохранность, утрату или повреждение полученных Давальческих материалов и запасных частей с </w:t>
      </w:r>
      <w:r>
        <w:rPr>
          <w:sz w:val="24"/>
          <w:szCs w:val="24"/>
        </w:rPr>
        <w:t xml:space="preserve">даты </w:t>
      </w:r>
      <w:r>
        <w:rPr>
          <w:sz w:val="24"/>
          <w:szCs w:val="24"/>
        </w:rPr>
        <w:t xml:space="preserve">подписания им Накладной М-15 до даты подписания Сторонами Акта о расходе Давальческих материалов и запасных частей.</w:t>
      </w:r>
      <w:r>
        <w:rPr>
          <w:sz w:val="24"/>
          <w:szCs w:val="24"/>
        </w:rPr>
      </w:r>
    </w:p>
    <w:p>
      <w:pPr>
        <w:pStyle w:val="937"/>
        <w:numPr>
          <w:ilvl w:val="0"/>
          <w:numId w:val="56"/>
        </w:numPr>
        <w:ind w:left="0" w:firstLine="709"/>
        <w:jc w:val="both"/>
        <w:spacing w:line="276" w:lineRule="auto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обязан обеспечить эффективное использование по назначению переданных Заказчиком Давальческих материалов и запасных частей. В случае повреж</w:t>
      </w:r>
      <w:r>
        <w:rPr>
          <w:sz w:val="24"/>
          <w:szCs w:val="24"/>
        </w:rPr>
        <w:t xml:space="preserve">дения, перерасхода,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Заказчиком.</w:t>
      </w:r>
      <w:r>
        <w:rPr>
          <w:sz w:val="24"/>
          <w:szCs w:val="24"/>
        </w:rPr>
      </w:r>
    </w:p>
    <w:p>
      <w:pPr>
        <w:pStyle w:val="937"/>
        <w:numPr>
          <w:ilvl w:val="0"/>
          <w:numId w:val="56"/>
        </w:numPr>
        <w:ind w:left="0" w:firstLine="709"/>
        <w:jc w:val="both"/>
        <w:spacing w:line="276" w:lineRule="auto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Ежемесячно, не позднее последнего дня отчетного месяца, Подрядчик представляет Заказчику Акт о расходе Давальческих материалов и </w:t>
      </w:r>
      <w:r>
        <w:rPr>
          <w:sz w:val="24"/>
          <w:szCs w:val="24"/>
        </w:rPr>
        <w:t xml:space="preserve">запасных частей с указанием номенклатуры,</w:t>
      </w:r>
      <w:r>
        <w:rPr>
          <w:sz w:val="24"/>
          <w:szCs w:val="24"/>
        </w:rPr>
        <w:t xml:space="preserve"> и количества использованных Давальческих материалов и запасных частей</w:t>
      </w:r>
      <w:r>
        <w:rPr>
          <w:color w:val="000000"/>
          <w:spacing w:val="-3"/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937"/>
        <w:numPr>
          <w:ilvl w:val="0"/>
          <w:numId w:val="56"/>
        </w:numPr>
        <w:ind w:left="0" w:firstLine="709"/>
        <w:jc w:val="both"/>
        <w:spacing w:line="276" w:lineRule="auto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Возврат Заказчику неиспользованных Подрядчиком Давальческих материалов и запасных частей осуществляется по Накладной М-15 в течение 3 (трех) рабочих дней после окончания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абот по Объекту, а также в случае прекращения</w:t>
      </w:r>
      <w:r>
        <w:rPr>
          <w:sz w:val="24"/>
          <w:szCs w:val="24"/>
        </w:rPr>
        <w:t xml:space="preserve"> (расторжения)</w:t>
      </w:r>
      <w:r>
        <w:rPr>
          <w:sz w:val="24"/>
          <w:szCs w:val="24"/>
        </w:rPr>
        <w:t xml:space="preserve"> Договора. В случае невозврата</w:t>
      </w:r>
      <w:r>
        <w:rPr>
          <w:sz w:val="24"/>
          <w:szCs w:val="24"/>
        </w:rPr>
        <w:t xml:space="preserve"> Заказчику неиспользованных Подрядчиком Давальческих материалов и запасных частей, в предусмотренный настоящим пунктом срок, а также в тех случаях, когда Подрядчик допустит необоснованный перерасход Давальческих материалов и запасных частей при выполнении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абот, Заказчик вправе потребовать от Подрядчика возмещения стоимости невозвращенных и/или перерасходованных Давальческих мат</w:t>
      </w:r>
      <w:r>
        <w:rPr>
          <w:sz w:val="24"/>
          <w:szCs w:val="24"/>
        </w:rPr>
        <w:t xml:space="preserve">ериалов и запасных частей, в том числе, путем удержания их стоимости из выплачиваемых Подрядчику по Договору сумм. Стоимость невозвращенных/перерасходованных Давальческих материалов и запасных частей определяется исходя из цены, указанной в Накладной М-15.</w:t>
      </w:r>
      <w:r>
        <w:rPr>
          <w:sz w:val="24"/>
          <w:szCs w:val="24"/>
        </w:rPr>
      </w:r>
    </w:p>
    <w:p>
      <w:pPr>
        <w:ind w:firstLine="0"/>
        <w:spacing w:line="276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spacing w:line="276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819"/>
      </w:tblGrid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ind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ind w:left="497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ind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ind w:left="497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497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737" w:bottom="1134" w:left="1134" w:header="567" w:footer="28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57745348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ru-RU"/>
          </w:rPr>
          <w:t xml:space="preserve">2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</w:p>
    </w:sdtContent>
  </w:sdt>
  <w:p>
    <w:pPr>
      <w:pStyle w:val="953"/>
      <w:ind w:firstLine="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968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69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70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71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1"/>
      <w:numFmt w:val="decimal"/>
      <w:pStyle w:val="938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39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40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1"/>
      <w:numFmt w:val="bullet"/>
      <w:pStyle w:val="946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87"/>
  </w:num>
  <w:num w:numId="2">
    <w:abstractNumId w:val="57"/>
  </w:num>
  <w:num w:numId="3">
    <w:abstractNumId w:val="73"/>
  </w:num>
  <w:num w:numId="4">
    <w:abstractNumId w:val="1"/>
  </w:num>
  <w:num w:numId="5">
    <w:abstractNumId w:val="98"/>
  </w:num>
  <w:num w:numId="6">
    <w:abstractNumId w:val="69"/>
  </w:num>
  <w:num w:numId="7">
    <w:abstractNumId w:val="91"/>
  </w:num>
  <w:num w:numId="8">
    <w:abstractNumId w:val="84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9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9"/>
  </w:num>
  <w:num w:numId="19">
    <w:abstractNumId w:val="18"/>
  </w:num>
  <w:num w:numId="20">
    <w:abstractNumId w:val="75"/>
  </w:num>
  <w:num w:numId="21">
    <w:abstractNumId w:val="9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1"/>
  </w:num>
  <w:num w:numId="25">
    <w:abstractNumId w:val="96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6"/>
  </w:num>
  <w:num w:numId="31">
    <w:abstractNumId w:val="9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4"/>
  </w:num>
  <w:num w:numId="34">
    <w:abstractNumId w:val="51"/>
  </w:num>
  <w:num w:numId="35">
    <w:abstractNumId w:val="82"/>
  </w:num>
  <w:num w:numId="36">
    <w:abstractNumId w:val="7"/>
  </w:num>
  <w:num w:numId="37">
    <w:abstractNumId w:val="60"/>
  </w:num>
  <w:num w:numId="38">
    <w:abstractNumId w:val="88"/>
  </w:num>
  <w:num w:numId="39">
    <w:abstractNumId w:val="92"/>
  </w:num>
  <w:num w:numId="40">
    <w:abstractNumId w:val="78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2"/>
  </w:num>
  <w:num w:numId="47">
    <w:abstractNumId w:val="9"/>
  </w:num>
  <w:num w:numId="48">
    <w:abstractNumId w:val="47"/>
  </w:num>
  <w:num w:numId="49">
    <w:abstractNumId w:val="61"/>
  </w:num>
  <w:num w:numId="50">
    <w:abstractNumId w:val="95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7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7"/>
    <w:lvlOverride w:ilvl="3">
      <w:startOverride w:val="1"/>
    </w:lvlOverride>
  </w:num>
  <w:num w:numId="59">
    <w:abstractNumId w:val="59"/>
  </w:num>
  <w:num w:numId="60">
    <w:abstractNumId w:val="100"/>
  </w:num>
  <w:num w:numId="61">
    <w:abstractNumId w:val="38"/>
  </w:num>
  <w:num w:numId="62">
    <w:abstractNumId w:val="16"/>
  </w:num>
  <w:num w:numId="63">
    <w:abstractNumId w:val="85"/>
  </w:num>
  <w:num w:numId="64">
    <w:abstractNumId w:val="28"/>
  </w:num>
  <w:num w:numId="65">
    <w:abstractNumId w:val="83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0"/>
  </w:num>
  <w:num w:numId="71">
    <w:abstractNumId w:val="0"/>
  </w:num>
  <w:num w:numId="72">
    <w:abstractNumId w:val="4"/>
  </w:num>
  <w:num w:numId="73">
    <w:abstractNumId w:val="93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4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7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1"/>
  </w:num>
  <w:num w:numId="95">
    <w:abstractNumId w:val="81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6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  <w:num w:numId="108">
    <w:abstractNumId w:val="70"/>
  </w:num>
  <w:num w:numId="109">
    <w:abstractNumId w:val="1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18"/>
    <w:link w:val="91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918"/>
    <w:link w:val="91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918"/>
    <w:link w:val="9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914"/>
    <w:next w:val="91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14"/>
    <w:next w:val="91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14"/>
    <w:next w:val="91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14"/>
    <w:next w:val="91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14"/>
    <w:next w:val="91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14"/>
    <w:next w:val="91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918"/>
    <w:link w:val="957"/>
    <w:uiPriority w:val="10"/>
    <w:rPr>
      <w:sz w:val="48"/>
      <w:szCs w:val="48"/>
    </w:rPr>
  </w:style>
  <w:style w:type="paragraph" w:styleId="36">
    <w:name w:val="Subtitle"/>
    <w:basedOn w:val="914"/>
    <w:next w:val="91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18"/>
    <w:link w:val="36"/>
    <w:uiPriority w:val="11"/>
    <w:rPr>
      <w:sz w:val="24"/>
      <w:szCs w:val="24"/>
    </w:rPr>
  </w:style>
  <w:style w:type="paragraph" w:styleId="38">
    <w:name w:val="Quote"/>
    <w:basedOn w:val="914"/>
    <w:next w:val="91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14"/>
    <w:next w:val="91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18"/>
    <w:link w:val="922"/>
    <w:uiPriority w:val="99"/>
  </w:style>
  <w:style w:type="character" w:styleId="45">
    <w:name w:val="Footer Char"/>
    <w:basedOn w:val="918"/>
    <w:link w:val="953"/>
    <w:uiPriority w:val="99"/>
  </w:style>
  <w:style w:type="character" w:styleId="47">
    <w:name w:val="Caption Char"/>
    <w:basedOn w:val="918"/>
    <w:link w:val="965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9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74"/>
    <w:uiPriority w:val="99"/>
    <w:rPr>
      <w:sz w:val="20"/>
    </w:rPr>
  </w:style>
  <w:style w:type="paragraph" w:styleId="181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15">
    <w:name w:val="Heading 1"/>
    <w:basedOn w:val="914"/>
    <w:next w:val="914"/>
    <w:link w:val="95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16">
    <w:name w:val="Heading 2"/>
    <w:basedOn w:val="914"/>
    <w:next w:val="914"/>
    <w:link w:val="960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17">
    <w:name w:val="Heading 3"/>
    <w:basedOn w:val="914"/>
    <w:next w:val="914"/>
    <w:link w:val="936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18" w:default="1">
    <w:name w:val="Default Paragraph Font"/>
    <w:uiPriority w:val="1"/>
    <w:semiHidden/>
    <w:unhideWhenUsed/>
  </w:style>
  <w:style w:type="table" w:styleId="9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0" w:default="1">
    <w:name w:val="No List"/>
    <w:uiPriority w:val="99"/>
    <w:semiHidden/>
    <w:unhideWhenUsed/>
  </w:style>
  <w:style w:type="paragraph" w:styleId="921">
    <w:name w:val="Body Text 3"/>
    <w:basedOn w:val="914"/>
    <w:link w:val="956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22">
    <w:name w:val="Header"/>
    <w:basedOn w:val="914"/>
    <w:pPr>
      <w:tabs>
        <w:tab w:val="center" w:pos="4677" w:leader="none"/>
        <w:tab w:val="right" w:pos="9355" w:leader="none"/>
      </w:tabs>
    </w:pPr>
  </w:style>
  <w:style w:type="paragraph" w:styleId="923">
    <w:name w:val="Body Text"/>
    <w:basedOn w:val="914"/>
    <w:pPr>
      <w:spacing w:after="120"/>
    </w:pPr>
  </w:style>
  <w:style w:type="paragraph" w:styleId="924" w:customStyle="1">
    <w:name w:val="Style1"/>
    <w:basedOn w:val="914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25">
    <w:name w:val="Body Text 2"/>
    <w:basedOn w:val="914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26" w:customStyle="1">
    <w:name w:val="Знак"/>
    <w:basedOn w:val="91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7">
    <w:name w:val="footnote text"/>
    <w:basedOn w:val="914"/>
    <w:link w:val="972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928">
    <w:name w:val="footnote reference"/>
    <w:uiPriority w:val="99"/>
    <w:rPr>
      <w:vertAlign w:val="superscript"/>
    </w:rPr>
  </w:style>
  <w:style w:type="table" w:styleId="929">
    <w:name w:val="Table Grid"/>
    <w:basedOn w:val="919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0" w:customStyle="1">
    <w:name w:val="Знак Знак Знак Знак Знак Знак Знак"/>
    <w:basedOn w:val="91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1" w:customStyle="1">
    <w:name w:val="Знак2"/>
    <w:basedOn w:val="91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2" w:customStyle="1">
    <w:name w:val="Знак Знак Знак Знак Знак Знак Знак Знак Знак"/>
    <w:basedOn w:val="914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33" w:customStyle="1">
    <w:name w:val="Пункт договора"/>
    <w:basedOn w:val="914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34" w:customStyle="1">
    <w:name w:val="Подпункт договора"/>
    <w:basedOn w:val="914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35">
    <w:name w:val="Body Text Indent 3"/>
    <w:basedOn w:val="914"/>
    <w:pPr>
      <w:ind w:left="283"/>
      <w:spacing w:after="120"/>
    </w:pPr>
    <w:rPr>
      <w:sz w:val="16"/>
      <w:szCs w:val="16"/>
    </w:rPr>
  </w:style>
  <w:style w:type="character" w:styleId="936" w:customStyle="1">
    <w:name w:val="Заголовок 3 Знак"/>
    <w:link w:val="917"/>
    <w:rPr>
      <w:b/>
      <w:sz w:val="28"/>
    </w:rPr>
  </w:style>
  <w:style w:type="paragraph" w:styleId="937">
    <w:name w:val="List Paragraph"/>
    <w:basedOn w:val="91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38" w:customStyle="1">
    <w:name w:val="1. Статья"/>
    <w:basedOn w:val="917"/>
    <w:link w:val="945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39" w:customStyle="1">
    <w:name w:val="2. Пункт"/>
    <w:basedOn w:val="917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40" w:customStyle="1">
    <w:name w:val="3. Подпункт"/>
    <w:basedOn w:val="917"/>
    <w:link w:val="941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41" w:customStyle="1">
    <w:name w:val="3. Подпункт Знак"/>
    <w:link w:val="940"/>
    <w:rPr>
      <w:b/>
      <w:bCs/>
      <w:sz w:val="24"/>
      <w:szCs w:val="24"/>
    </w:rPr>
  </w:style>
  <w:style w:type="paragraph" w:styleId="942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43">
    <w:name w:val="Balloon Text"/>
    <w:basedOn w:val="914"/>
    <w:link w:val="944"/>
    <w:pPr>
      <w:spacing w:line="240" w:lineRule="auto"/>
    </w:pPr>
    <w:rPr>
      <w:rFonts w:ascii="Tahoma" w:hAnsi="Tahoma"/>
      <w:sz w:val="16"/>
      <w:szCs w:val="16"/>
    </w:rPr>
  </w:style>
  <w:style w:type="character" w:styleId="944" w:customStyle="1">
    <w:name w:val="Текст выноски Знак"/>
    <w:link w:val="943"/>
    <w:rPr>
      <w:rFonts w:ascii="Tahoma" w:hAnsi="Tahoma" w:cs="Tahoma"/>
      <w:sz w:val="16"/>
      <w:szCs w:val="16"/>
    </w:rPr>
  </w:style>
  <w:style w:type="character" w:styleId="945" w:customStyle="1">
    <w:name w:val="1. Статья Знак"/>
    <w:link w:val="938"/>
    <w:rPr>
      <w:b w:val="0"/>
      <w:sz w:val="24"/>
      <w:szCs w:val="24"/>
    </w:rPr>
  </w:style>
  <w:style w:type="paragraph" w:styleId="946" w:customStyle="1">
    <w:name w:val="4. Отчерк"/>
    <w:basedOn w:val="914"/>
    <w:link w:val="947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47" w:customStyle="1">
    <w:name w:val="4. Отчерк Знак"/>
    <w:link w:val="946"/>
    <w:rPr>
      <w:sz w:val="24"/>
      <w:szCs w:val="24"/>
    </w:rPr>
  </w:style>
  <w:style w:type="character" w:styleId="948">
    <w:name w:val="annotation reference"/>
    <w:rPr>
      <w:sz w:val="16"/>
      <w:szCs w:val="16"/>
    </w:rPr>
  </w:style>
  <w:style w:type="paragraph" w:styleId="949">
    <w:name w:val="annotation text"/>
    <w:basedOn w:val="914"/>
    <w:link w:val="950"/>
    <w:pPr>
      <w:spacing w:line="240" w:lineRule="auto"/>
    </w:pPr>
    <w:rPr>
      <w:sz w:val="20"/>
      <w:szCs w:val="20"/>
    </w:rPr>
  </w:style>
  <w:style w:type="character" w:styleId="950" w:customStyle="1">
    <w:name w:val="Текст примечания Знак"/>
    <w:link w:val="949"/>
  </w:style>
  <w:style w:type="paragraph" w:styleId="951">
    <w:name w:val="annotation subject"/>
    <w:basedOn w:val="949"/>
    <w:next w:val="949"/>
    <w:link w:val="952"/>
    <w:rPr>
      <w:b/>
      <w:bCs/>
    </w:rPr>
  </w:style>
  <w:style w:type="character" w:styleId="952" w:customStyle="1">
    <w:name w:val="Тема примечания Знак"/>
    <w:link w:val="951"/>
    <w:rPr>
      <w:b/>
      <w:bCs/>
    </w:rPr>
  </w:style>
  <w:style w:type="paragraph" w:styleId="953">
    <w:name w:val="Footer"/>
    <w:basedOn w:val="914"/>
    <w:link w:val="954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link w:val="953"/>
    <w:uiPriority w:val="99"/>
    <w:rPr>
      <w:sz w:val="28"/>
      <w:szCs w:val="28"/>
    </w:rPr>
  </w:style>
  <w:style w:type="paragraph" w:styleId="955">
    <w:name w:val="Revision"/>
    <w:hidden/>
    <w:uiPriority w:val="99"/>
    <w:semiHidden/>
    <w:rPr>
      <w:sz w:val="28"/>
      <w:szCs w:val="28"/>
    </w:rPr>
  </w:style>
  <w:style w:type="character" w:styleId="956" w:customStyle="1">
    <w:name w:val="Основной текст 3 Знак"/>
    <w:link w:val="921"/>
    <w:rPr>
      <w:color w:val="0000ff"/>
      <w:sz w:val="24"/>
      <w:szCs w:val="24"/>
      <w:lang w:eastAsia="en-US"/>
    </w:rPr>
  </w:style>
  <w:style w:type="paragraph" w:styleId="957">
    <w:name w:val="Title"/>
    <w:basedOn w:val="914"/>
    <w:link w:val="958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58" w:customStyle="1">
    <w:name w:val="Заголовок Знак"/>
    <w:link w:val="957"/>
    <w:rPr>
      <w:b/>
      <w:sz w:val="22"/>
      <w:szCs w:val="22"/>
      <w:shd w:val="clear" w:color="auto" w:fill="ffffff"/>
    </w:rPr>
  </w:style>
  <w:style w:type="character" w:styleId="959" w:customStyle="1">
    <w:name w:val="Заголовок 1 Знак"/>
    <w:link w:val="915"/>
    <w:rPr>
      <w:rFonts w:ascii="Cambria" w:hAnsi="Cambria" w:eastAsia="Times New Roman" w:cs="Times New Roman"/>
      <w:b/>
      <w:bCs/>
      <w:sz w:val="32"/>
      <w:szCs w:val="32"/>
    </w:rPr>
  </w:style>
  <w:style w:type="character" w:styleId="960" w:customStyle="1">
    <w:name w:val="Заголовок 2 Знак"/>
    <w:link w:val="916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61">
    <w:name w:val="Body Text Indent"/>
    <w:basedOn w:val="914"/>
    <w:link w:val="962"/>
    <w:pPr>
      <w:ind w:left="283"/>
      <w:spacing w:after="120"/>
    </w:pPr>
  </w:style>
  <w:style w:type="character" w:styleId="962" w:customStyle="1">
    <w:name w:val="Основной текст с отступом Знак"/>
    <w:link w:val="961"/>
    <w:rPr>
      <w:sz w:val="28"/>
      <w:szCs w:val="28"/>
    </w:rPr>
  </w:style>
  <w:style w:type="paragraph" w:styleId="963" w:customStyle="1">
    <w:name w:val="Пункт 3.3.3"/>
    <w:basedOn w:val="914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64" w:customStyle="1">
    <w:name w:val="Заглавие"/>
    <w:basedOn w:val="914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65">
    <w:name w:val="Caption"/>
    <w:basedOn w:val="914"/>
    <w:next w:val="91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66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67" w:customStyle="1">
    <w:name w:val="Знак1"/>
    <w:basedOn w:val="91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8" w:customStyle="1">
    <w:name w:val="Контракт-раздел"/>
    <w:basedOn w:val="914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69" w:customStyle="1">
    <w:name w:val="Контракт-пункт"/>
    <w:basedOn w:val="914"/>
    <w:pPr>
      <w:numPr>
        <w:ilvl w:val="1"/>
        <w:numId w:val="17"/>
      </w:numPr>
    </w:pPr>
  </w:style>
  <w:style w:type="paragraph" w:styleId="970" w:customStyle="1">
    <w:name w:val="Контракт-подпункт"/>
    <w:basedOn w:val="914"/>
    <w:pPr>
      <w:numPr>
        <w:ilvl w:val="2"/>
        <w:numId w:val="17"/>
      </w:numPr>
    </w:pPr>
  </w:style>
  <w:style w:type="paragraph" w:styleId="971" w:customStyle="1">
    <w:name w:val="Контракт-подподпункт"/>
    <w:basedOn w:val="914"/>
    <w:pPr>
      <w:numPr>
        <w:ilvl w:val="3"/>
        <w:numId w:val="17"/>
      </w:numPr>
    </w:pPr>
  </w:style>
  <w:style w:type="character" w:styleId="972" w:customStyle="1">
    <w:name w:val="Текст сноски Знак"/>
    <w:link w:val="927"/>
    <w:uiPriority w:val="99"/>
  </w:style>
  <w:style w:type="character" w:styleId="973">
    <w:name w:val="Hyperlink"/>
    <w:uiPriority w:val="99"/>
    <w:unhideWhenUsed/>
    <w:rPr>
      <w:color w:val="0000ff"/>
      <w:u w:val="single"/>
    </w:rPr>
  </w:style>
  <w:style w:type="paragraph" w:styleId="974">
    <w:name w:val="endnote text"/>
    <w:basedOn w:val="914"/>
    <w:link w:val="975"/>
    <w:uiPriority w:val="99"/>
    <w:semiHidden/>
    <w:unhideWhenUsed/>
    <w:rPr>
      <w:sz w:val="20"/>
      <w:szCs w:val="20"/>
    </w:rPr>
  </w:style>
  <w:style w:type="character" w:styleId="975" w:customStyle="1">
    <w:name w:val="Текст концевой сноски Знак"/>
    <w:link w:val="974"/>
    <w:uiPriority w:val="99"/>
    <w:semiHidden/>
  </w:style>
  <w:style w:type="character" w:styleId="976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7E816-D7C4-47BA-80D0-289D4F9E5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229737-08E4-45AE-8571-F22CC09F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20</cp:revision>
  <dcterms:created xsi:type="dcterms:W3CDTF">2019-11-28T00:18:00Z</dcterms:created>
  <dcterms:modified xsi:type="dcterms:W3CDTF">2025-12-21T23:17:05Z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